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7" w:rsidRDefault="00132607" w:rsidP="00132607">
      <w:pPr>
        <w:rPr>
          <w:b/>
          <w:bCs/>
        </w:rPr>
      </w:pPr>
      <w:r w:rsidRPr="00132607">
        <w:rPr>
          <w:b/>
          <w:bCs/>
          <w:noProof/>
          <w:lang w:eastAsia="ru-RU"/>
        </w:rPr>
        <w:drawing>
          <wp:inline distT="0" distB="0" distL="0" distR="0">
            <wp:extent cx="1877844" cy="528307"/>
            <wp:effectExtent l="19050" t="0" r="810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95" cy="52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7" w:rsidRDefault="00132607" w:rsidP="00CA47A2">
      <w:pPr>
        <w:jc w:val="center"/>
        <w:rPr>
          <w:b/>
          <w:bCs/>
        </w:rPr>
      </w:pPr>
    </w:p>
    <w:p w:rsidR="00132607" w:rsidRDefault="00132607" w:rsidP="00CA47A2">
      <w:pPr>
        <w:jc w:val="center"/>
        <w:rPr>
          <w:b/>
          <w:bCs/>
        </w:rPr>
      </w:pPr>
    </w:p>
    <w:p w:rsidR="00132607" w:rsidRDefault="00CA47A2" w:rsidP="00CA47A2">
      <w:pPr>
        <w:jc w:val="center"/>
        <w:rPr>
          <w:b/>
          <w:bCs/>
        </w:rPr>
      </w:pPr>
      <w:r>
        <w:rPr>
          <w:b/>
          <w:bCs/>
        </w:rPr>
        <w:t xml:space="preserve">ТЕСТЫ ДЛЯ СЛУШАТЕЛЕЙ  </w:t>
      </w:r>
    </w:p>
    <w:p w:rsidR="00CA47A2" w:rsidRDefault="00CA47A2" w:rsidP="00CA47A2">
      <w:pPr>
        <w:jc w:val="center"/>
        <w:rPr>
          <w:b/>
          <w:bCs/>
        </w:rPr>
      </w:pPr>
      <w:r>
        <w:rPr>
          <w:b/>
          <w:bCs/>
        </w:rPr>
        <w:t xml:space="preserve">ПРОГРАММЫ ПОВЫШЕНИЯ КВАЛИФИКАЦИИ </w:t>
      </w:r>
    </w:p>
    <w:p w:rsidR="00CA47A2" w:rsidRDefault="00CA47A2" w:rsidP="00CA47A2">
      <w:pPr>
        <w:jc w:val="center"/>
        <w:rPr>
          <w:b/>
          <w:bCs/>
        </w:rPr>
      </w:pPr>
      <w:r>
        <w:rPr>
          <w:b/>
          <w:bCs/>
        </w:rPr>
        <w:t>«СПЕЦИАЛИСТ ПО НЕДВИЖИМОСТИ – АГЕНТ/БРОКЕР»</w:t>
      </w:r>
    </w:p>
    <w:p w:rsidR="00CA47A2" w:rsidRDefault="00CA47A2" w:rsidP="00CA47A2">
      <w:pPr>
        <w:jc w:val="center"/>
        <w:rPr>
          <w:b/>
          <w:bCs/>
        </w:rPr>
      </w:pPr>
    </w:p>
    <w:p w:rsidR="00CA47A2" w:rsidRDefault="00CA47A2" w:rsidP="00CA47A2">
      <w:pPr>
        <w:rPr>
          <w:b/>
          <w:bCs/>
        </w:rPr>
      </w:pPr>
      <w:r>
        <w:rPr>
          <w:b/>
          <w:bCs/>
        </w:rPr>
        <w:t>4.  Юридический блок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827"/>
        <w:gridCol w:w="4961"/>
      </w:tblGrid>
      <w:tr w:rsidR="00132607" w:rsidRPr="002E1F46" w:rsidTr="00132607">
        <w:trPr>
          <w:trHeight w:val="414"/>
        </w:trPr>
        <w:tc>
          <w:tcPr>
            <w:tcW w:w="9327" w:type="dxa"/>
            <w:gridSpan w:val="3"/>
            <w:shd w:val="clear" w:color="auto" w:fill="D6E3BC" w:themeFill="accent3" w:themeFillTint="66"/>
          </w:tcPr>
          <w:p w:rsidR="00132607" w:rsidRPr="002E1F46" w:rsidRDefault="00132607" w:rsidP="004D0309">
            <w:pPr>
              <w:snapToGrid w:val="0"/>
              <w:ind w:left="641" w:hanging="641"/>
              <w:rPr>
                <w:b/>
              </w:rPr>
            </w:pPr>
            <w:r>
              <w:rPr>
                <w:b/>
              </w:rPr>
              <w:t xml:space="preserve">4.10. </w:t>
            </w:r>
            <w:r w:rsidRPr="002E1F46">
              <w:rPr>
                <w:b/>
              </w:rPr>
              <w:t>Регистрация прав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132607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left" w:pos="5161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snapToGrid w:val="0"/>
            </w:pPr>
            <w:r w:rsidRPr="002E1F46">
              <w:t>Сведения о регистрации прав на недвижимое имущество (недвижимость) являются: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CA47A2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 </w:t>
            </w:r>
            <w:proofErr w:type="gramStart"/>
            <w:r w:rsidRPr="002E1F46">
              <w:t>Доступными</w:t>
            </w:r>
            <w:proofErr w:type="gramEnd"/>
            <w:r w:rsidRPr="002E1F46">
              <w:t xml:space="preserve"> только для лиц, обладающих правом собственности на данную недвижимость</w:t>
            </w:r>
            <w:r w:rsidR="00F47557">
              <w:t>.</w:t>
            </w:r>
            <w:r>
              <w:t xml:space="preserve"> </w:t>
            </w:r>
          </w:p>
          <w:p w:rsidR="00132607" w:rsidRDefault="00F47557" w:rsidP="00CA47A2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Доступны только членам нотариальной палаты или с разрешения судьи</w:t>
            </w:r>
            <w:r>
              <w:t>.</w:t>
            </w:r>
            <w:r w:rsidR="00132607">
              <w:t xml:space="preserve"> </w:t>
            </w:r>
          </w:p>
          <w:p w:rsidR="00132607" w:rsidRPr="002E1F46" w:rsidRDefault="00132607" w:rsidP="00CA47A2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 Общедоступны.</w:t>
            </w:r>
          </w:p>
          <w:p w:rsidR="00132607" w:rsidRPr="002E1F46" w:rsidRDefault="00132607" w:rsidP="00CA47A2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 </w:t>
            </w:r>
            <w:r w:rsidRPr="002E1F46">
              <w:t>Строго конфиденциальны</w:t>
            </w:r>
            <w:r>
              <w:t xml:space="preserve">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132607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left" w:pos="5161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tabs>
                <w:tab w:val="left" w:pos="221"/>
              </w:tabs>
              <w:snapToGrid w:val="0"/>
            </w:pPr>
            <w:r w:rsidRPr="002E1F46">
              <w:t>Что подлежит государственной регистрации при сделках отчуждения (купля-продажа, мена, дарение) жилых объектов недвижимости?</w:t>
            </w:r>
          </w:p>
        </w:tc>
        <w:tc>
          <w:tcPr>
            <w:tcW w:w="4961" w:type="dxa"/>
            <w:shd w:val="clear" w:color="auto" w:fill="auto"/>
          </w:tcPr>
          <w:p w:rsidR="00132607" w:rsidRDefault="00F47557" w:rsidP="00CA47A2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 xml:space="preserve"> </w:t>
            </w:r>
            <w:r w:rsidR="00132607" w:rsidRPr="002E1F46">
              <w:t>Договор</w:t>
            </w:r>
            <w:r>
              <w:t>.</w:t>
            </w:r>
          </w:p>
          <w:p w:rsidR="00F47557" w:rsidRPr="002E1F46" w:rsidRDefault="00F47557" w:rsidP="00CA47A2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 xml:space="preserve"> Договор, право собственности.</w:t>
            </w:r>
          </w:p>
          <w:p w:rsidR="00132607" w:rsidRPr="002E1F46" w:rsidRDefault="00F47557" w:rsidP="00CA47A2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Право владения</w:t>
            </w:r>
            <w:r>
              <w:t>.</w:t>
            </w:r>
            <w:r w:rsidR="00132607" w:rsidRPr="002E1F46">
              <w:t xml:space="preserve"> </w:t>
            </w:r>
          </w:p>
          <w:p w:rsidR="00132607" w:rsidRDefault="00F47557" w:rsidP="00CA47A2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Право собственности</w:t>
            </w:r>
            <w:r>
              <w:t>.</w:t>
            </w:r>
          </w:p>
          <w:p w:rsidR="008D311D" w:rsidRPr="002E1F46" w:rsidRDefault="008D311D" w:rsidP="008D311D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 Регистрация перехода права от продавца к покупателю.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left" w:pos="4877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tabs>
                <w:tab w:val="left" w:pos="221"/>
              </w:tabs>
              <w:snapToGrid w:val="0"/>
            </w:pPr>
            <w:r w:rsidRPr="002E1F46">
              <w:t>Кто вправе обратиться за государственной регистрацией прав?</w:t>
            </w:r>
          </w:p>
        </w:tc>
        <w:tc>
          <w:tcPr>
            <w:tcW w:w="4961" w:type="dxa"/>
            <w:shd w:val="clear" w:color="auto" w:fill="auto"/>
          </w:tcPr>
          <w:p w:rsidR="00132607" w:rsidRDefault="00F47557" w:rsidP="00CA47A2">
            <w:pPr>
              <w:numPr>
                <w:ilvl w:val="0"/>
                <w:numId w:val="3"/>
              </w:numPr>
              <w:tabs>
                <w:tab w:val="left" w:pos="0"/>
              </w:tabs>
            </w:pPr>
            <w:r>
              <w:t xml:space="preserve"> Участники сделки.</w:t>
            </w:r>
          </w:p>
          <w:p w:rsidR="00F47557" w:rsidRPr="002E1F46" w:rsidRDefault="00F47557" w:rsidP="00CA47A2">
            <w:pPr>
              <w:numPr>
                <w:ilvl w:val="0"/>
                <w:numId w:val="3"/>
              </w:numPr>
              <w:tabs>
                <w:tab w:val="left" w:pos="0"/>
              </w:tabs>
            </w:pPr>
            <w:r>
              <w:t xml:space="preserve"> Родственники правообладателя.</w:t>
            </w:r>
          </w:p>
          <w:p w:rsidR="00132607" w:rsidRDefault="00132607" w:rsidP="00CA47A2">
            <w:pPr>
              <w:numPr>
                <w:ilvl w:val="0"/>
                <w:numId w:val="3"/>
              </w:numPr>
              <w:tabs>
                <w:tab w:val="left" w:pos="0"/>
              </w:tabs>
            </w:pPr>
            <w:r w:rsidRPr="002E1F46">
              <w:t>Супруг правообладателя</w:t>
            </w:r>
            <w:r w:rsidR="00F47557">
              <w:t>.</w:t>
            </w:r>
          </w:p>
          <w:p w:rsidR="00132607" w:rsidRPr="00F47557" w:rsidRDefault="00F47557" w:rsidP="00F47557">
            <w:pPr>
              <w:numPr>
                <w:ilvl w:val="0"/>
                <w:numId w:val="3"/>
              </w:numPr>
              <w:tabs>
                <w:tab w:val="left" w:pos="0"/>
              </w:tabs>
            </w:pPr>
            <w:r>
              <w:t xml:space="preserve"> Доверенные лица участников сделки по доверенности, оформленной в соответствии с действующим законодательством.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132607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left" w:pos="5161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tabs>
                <w:tab w:val="left" w:pos="221"/>
              </w:tabs>
              <w:snapToGrid w:val="0"/>
            </w:pPr>
            <w:r w:rsidRPr="002E1F46">
              <w:t>Когда сделка считается зарегистрированной, а право собственности возникшим?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F47557" w:rsidP="00CA47A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t xml:space="preserve"> </w:t>
            </w:r>
            <w:r w:rsidR="00132607" w:rsidRPr="002E1F46">
              <w:t>С момента приема документов на государственную регистрацию прав</w:t>
            </w:r>
            <w:r>
              <w:t>.</w:t>
            </w:r>
          </w:p>
          <w:p w:rsidR="00132607" w:rsidRDefault="00F47557" w:rsidP="00CA47A2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После проведения правовой экспертизы документов, поданных на государственную регистрацию прав</w:t>
            </w:r>
            <w:r>
              <w:t>.</w:t>
            </w:r>
          </w:p>
          <w:p w:rsidR="00F47557" w:rsidRDefault="00F47557" w:rsidP="00CA47A2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 С момента государственной регистрации права в Едином государственном реестре прав.</w:t>
            </w:r>
          </w:p>
          <w:p w:rsidR="00132607" w:rsidRPr="002E1F46" w:rsidRDefault="00F47557" w:rsidP="00CA47A2">
            <w:pPr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С момента выдачи свидетельства о государственной регистрации прав и правоустанавливающих документов с отметкой о государственной регистрации</w:t>
            </w:r>
            <w:r>
              <w:t>.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132607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left" w:pos="5161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</w:pPr>
            <w:r w:rsidRPr="002E1F46">
              <w:t>Основания отказа в государственной регистрации прав:</w:t>
            </w:r>
          </w:p>
        </w:tc>
        <w:tc>
          <w:tcPr>
            <w:tcW w:w="4961" w:type="dxa"/>
            <w:shd w:val="clear" w:color="auto" w:fill="auto"/>
          </w:tcPr>
          <w:p w:rsidR="00601A00" w:rsidRDefault="00601A00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Предъявлен не полный комплект документов.</w:t>
            </w:r>
          </w:p>
          <w:p w:rsidR="00601A00" w:rsidRDefault="00601A00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В документах допущены технические ошибки.</w:t>
            </w:r>
          </w:p>
          <w:p w:rsidR="00601A00" w:rsidRDefault="00601A00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 Право, которое просит зарегистрировать заявитель, не подлежит регистрации.</w:t>
            </w:r>
          </w:p>
          <w:p w:rsidR="00601A00" w:rsidRDefault="00601A00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 С заявлением о регистрации обратилось ненадлежащее лицо.</w:t>
            </w:r>
          </w:p>
          <w:p w:rsidR="00132607" w:rsidRDefault="00601A00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С заявлением о регистрации обратилось доверенное лицо</w:t>
            </w:r>
            <w:r>
              <w:t>.</w:t>
            </w:r>
          </w:p>
          <w:p w:rsidR="00601A00" w:rsidRDefault="00601A00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 Документы, предоставленные на </w:t>
            </w:r>
            <w:r>
              <w:lastRenderedPageBreak/>
              <w:t>государственную регистрацию, не соответствуют действующему законодательству</w:t>
            </w:r>
            <w:r w:rsidR="00794BAF">
              <w:t xml:space="preserve"> по форме или содержанию.</w:t>
            </w:r>
          </w:p>
          <w:p w:rsidR="00794BAF" w:rsidRDefault="00794BAF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 Акт государственного органа или акт органа местного самоуправления </w:t>
            </w:r>
            <w:proofErr w:type="gramStart"/>
            <w:r>
              <w:t>о представлении прав на недвижимое имущество признан недействительным с момента его издания в соответствии с законодательством</w:t>
            </w:r>
            <w:proofErr w:type="gramEnd"/>
            <w:r>
              <w:t>, действовавшим в месте его издания на момент издания.</w:t>
            </w:r>
          </w:p>
          <w:p w:rsidR="00794BAF" w:rsidRDefault="00794BAF" w:rsidP="00CA47A2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 Лицо, выдавшее правоустанавливающий документ, не уполномочено правом </w:t>
            </w:r>
            <w:proofErr w:type="gramStart"/>
            <w:r>
              <w:t>распоряжаться</w:t>
            </w:r>
            <w:proofErr w:type="gramEnd"/>
            <w:r>
              <w:t xml:space="preserve"> данным объектом.</w:t>
            </w:r>
          </w:p>
          <w:p w:rsidR="00132607" w:rsidRPr="002E1F46" w:rsidRDefault="00794BAF" w:rsidP="00794BAF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hd w:val="clear" w:color="auto" w:fill="FFFF00"/>
              </w:rPr>
            </w:pPr>
            <w:r>
              <w:t xml:space="preserve"> Лицо, которое имеет права, ограниченные определенными условиями, составило документ без указания этих условий.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132607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578"/>
                <w:tab w:val="left" w:pos="5161"/>
                <w:tab w:val="right" w:pos="8731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tabs>
                <w:tab w:val="left" w:pos="221"/>
                <w:tab w:val="center" w:pos="4153"/>
                <w:tab w:val="right" w:pos="8306"/>
              </w:tabs>
              <w:snapToGrid w:val="0"/>
            </w:pPr>
            <w:r w:rsidRPr="002E1F46">
              <w:t>Какие права на недвижимое имущество подлежат государственной регистрации?</w:t>
            </w:r>
          </w:p>
        </w:tc>
        <w:tc>
          <w:tcPr>
            <w:tcW w:w="4961" w:type="dxa"/>
            <w:shd w:val="clear" w:color="auto" w:fill="auto"/>
          </w:tcPr>
          <w:p w:rsidR="00132607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аренды (более года).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собственности.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найма.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государственной собственности.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муниципальной собственности.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хозяйственного ведения.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оперативного управления.</w:t>
            </w:r>
          </w:p>
          <w:p w:rsidR="00601A00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Ограничения (обременения) прав.</w:t>
            </w:r>
          </w:p>
          <w:p w:rsidR="00601A00" w:rsidRPr="002E1F46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Право доверительного управления.</w:t>
            </w:r>
          </w:p>
          <w:p w:rsidR="00132607" w:rsidRPr="002E1F46" w:rsidRDefault="00601A00" w:rsidP="00CA47A2">
            <w:pPr>
              <w:numPr>
                <w:ilvl w:val="0"/>
                <w:numId w:val="6"/>
              </w:numPr>
              <w:tabs>
                <w:tab w:val="left" w:pos="0"/>
              </w:tabs>
            </w:pPr>
            <w:r>
              <w:t xml:space="preserve"> </w:t>
            </w:r>
            <w:r w:rsidR="00132607" w:rsidRPr="002E1F46">
              <w:t>Никакие</w:t>
            </w:r>
            <w:r>
              <w:t>.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132607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578"/>
                <w:tab w:val="left" w:pos="5161"/>
                <w:tab w:val="right" w:pos="8731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</w:pPr>
            <w:r w:rsidRPr="002E1F46">
              <w:t>В каком случае вносятся изменения в Единый государственный реестр?</w:t>
            </w:r>
          </w:p>
        </w:tc>
        <w:tc>
          <w:tcPr>
            <w:tcW w:w="4961" w:type="dxa"/>
            <w:shd w:val="clear" w:color="auto" w:fill="auto"/>
          </w:tcPr>
          <w:p w:rsidR="00132607" w:rsidRDefault="00F47557" w:rsidP="00CA47A2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left" w:pos="0"/>
                <w:tab w:val="center" w:pos="459"/>
              </w:tabs>
            </w:pPr>
            <w:r>
              <w:t>При смене паспорта.</w:t>
            </w:r>
          </w:p>
          <w:p w:rsidR="00F47557" w:rsidRDefault="00F47557" w:rsidP="00CA47A2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left" w:pos="0"/>
                <w:tab w:val="center" w:pos="459"/>
              </w:tabs>
            </w:pPr>
            <w:r>
              <w:t xml:space="preserve"> При смене фамилии.</w:t>
            </w:r>
          </w:p>
          <w:p w:rsidR="00F47557" w:rsidRDefault="00F47557" w:rsidP="00CA47A2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left" w:pos="0"/>
                <w:tab w:val="center" w:pos="459"/>
              </w:tabs>
            </w:pPr>
            <w:r>
              <w:t xml:space="preserve"> В случае изменения состава семьи.</w:t>
            </w:r>
          </w:p>
          <w:p w:rsidR="00F47557" w:rsidRPr="002E1F46" w:rsidRDefault="00F47557" w:rsidP="00CA47A2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left" w:pos="0"/>
                <w:tab w:val="center" w:pos="459"/>
              </w:tabs>
            </w:pPr>
            <w:r>
              <w:t xml:space="preserve"> При изменении площади квартиры.</w:t>
            </w:r>
          </w:p>
          <w:p w:rsidR="00132607" w:rsidRPr="002E1F46" w:rsidRDefault="00F47557" w:rsidP="00CA47A2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left" w:pos="0"/>
                <w:tab w:val="center" w:pos="459"/>
              </w:tabs>
            </w:pPr>
            <w:r>
              <w:t xml:space="preserve"> </w:t>
            </w:r>
            <w:r w:rsidR="00132607" w:rsidRPr="002E1F46">
              <w:t>При изменении семейного положения</w:t>
            </w:r>
            <w:r>
              <w:t>.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436"/>
                <w:tab w:val="left" w:pos="5019"/>
                <w:tab w:val="right" w:pos="8589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Какая вещь называются недвижимой?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4D0309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 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      </w:r>
          </w:p>
          <w:p w:rsidR="00132607" w:rsidRPr="002E1F46" w:rsidRDefault="00132607" w:rsidP="004D0309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Земельные участки, недра, обособленные водные объекты и все то, что прочно связано с землей, в том числе здания, сооружения, и только объекты завершенного строительства. Права на недвижимую вещь подлежат государственной регистрации.</w:t>
            </w:r>
          </w:p>
          <w:p w:rsidR="00132607" w:rsidRPr="002E1F46" w:rsidRDefault="00132607" w:rsidP="004D0309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Жилые помещения.</w:t>
            </w:r>
          </w:p>
          <w:p w:rsidR="00132607" w:rsidRPr="002E1F46" w:rsidRDefault="00132607" w:rsidP="004D0309">
            <w:pPr>
              <w:pStyle w:val="a4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4. Жилые и не жилые помещения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436"/>
                <w:tab w:val="left" w:pos="5019"/>
                <w:tab w:val="right" w:pos="8589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Что из перечисленного не относится к недвижимому </w:t>
            </w:r>
            <w:r w:rsidRPr="002E1F46">
              <w:rPr>
                <w:shd w:val="clear" w:color="auto" w:fill="FFFFFF"/>
              </w:rPr>
              <w:lastRenderedPageBreak/>
              <w:t xml:space="preserve">имуществу?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F47557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lastRenderedPageBreak/>
              <w:t>1.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>Объекты незавершенного строительства.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>Многолетние насаждения.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lastRenderedPageBreak/>
              <w:t>3.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 xml:space="preserve"> Суда внутреннего плавания.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4.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>Космические объекты.</w:t>
            </w:r>
          </w:p>
          <w:p w:rsidR="00132607" w:rsidRPr="002E1F46" w:rsidRDefault="00132607" w:rsidP="00F47557">
            <w:pPr>
              <w:pStyle w:val="a4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5.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 xml:space="preserve">Жилищный сертификат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4"/>
              <w:tabs>
                <w:tab w:val="left" w:pos="221"/>
                <w:tab w:val="center" w:pos="4153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В какой срок регистратор должен исправить техническую ошибку, допущенную при регистрации прав на недвижимость?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F47557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В трехдневный срок.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В пятидневный срок.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3. В десятидневный срок.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В какой срок должно быть направлено 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F47557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В течение одного месяца после вступления решения в законную силу.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В течение четырнадцати дней после принятия решения.</w:t>
            </w:r>
          </w:p>
          <w:p w:rsidR="00132607" w:rsidRPr="002E1F46" w:rsidRDefault="00132607" w:rsidP="00F47557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В трехдневный срок с момента вступления решения суда в законную силу.</w:t>
            </w:r>
          </w:p>
          <w:p w:rsidR="00132607" w:rsidRPr="002E1F46" w:rsidRDefault="00132607" w:rsidP="004D0309">
            <w:pPr>
              <w:pStyle w:val="a6"/>
              <w:tabs>
                <w:tab w:val="clear" w:pos="4153"/>
                <w:tab w:val="center" w:pos="459"/>
              </w:tabs>
              <w:rPr>
                <w:shd w:val="clear" w:color="auto" w:fill="FFFFFF"/>
              </w:rPr>
            </w:pP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В случае регистрации прав на долю в общей долевой собственности при перераспределении </w:t>
            </w:r>
            <w:proofErr w:type="gramStart"/>
            <w:r w:rsidRPr="002E1F46">
              <w:rPr>
                <w:shd w:val="clear" w:color="auto" w:fill="FFFFFF"/>
              </w:rPr>
              <w:t>долей</w:t>
            </w:r>
            <w:proofErr w:type="gramEnd"/>
            <w:r w:rsidRPr="002E1F46">
              <w:rPr>
                <w:shd w:val="clear" w:color="auto" w:fill="FFFFFF"/>
              </w:rPr>
              <w:t xml:space="preserve"> необходимо ли согласие других сособственников?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1. 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>Да, согласие должно быть выражено в письменной форме, оформленной в органе, осуществляющем государственную регистрацию, или заверено нотариально.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2. 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>Да, согласие должно быть дано в устной или простой письменной форме при подаче документов на регистрацию.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3. </w:t>
            </w:r>
            <w:r w:rsidR="00F47557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 xml:space="preserve">Нет, перераспределение долей – это право каждого участника собственности.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В течение какого срока орган, осуществляющий регистрацию прав на недвижимое имущество и сделок с ним, обязан предоставить заявителю информацию об объекте недвижимости (если Единый </w:t>
            </w:r>
            <w:proofErr w:type="spellStart"/>
            <w:r w:rsidRPr="002E1F46">
              <w:rPr>
                <w:shd w:val="clear" w:color="auto" w:fill="FFFFFF"/>
              </w:rPr>
              <w:t>гос</w:t>
            </w:r>
            <w:proofErr w:type="gramStart"/>
            <w:r w:rsidRPr="002E1F46">
              <w:rPr>
                <w:shd w:val="clear" w:color="auto" w:fill="FFFFFF"/>
              </w:rPr>
              <w:t>.р</w:t>
            </w:r>
            <w:proofErr w:type="gramEnd"/>
            <w:r w:rsidRPr="002E1F46">
              <w:rPr>
                <w:shd w:val="clear" w:color="auto" w:fill="FFFFFF"/>
              </w:rPr>
              <w:t>еестр</w:t>
            </w:r>
            <w:proofErr w:type="spellEnd"/>
            <w:r w:rsidRPr="002E1F46">
              <w:rPr>
                <w:shd w:val="clear" w:color="auto" w:fill="FFFFFF"/>
              </w:rPr>
              <w:t xml:space="preserve"> прав ведется на бумажном носителе)?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В течение пяти дней.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В течение десяти дней.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В течение одного месяца.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4. В течение одного дня (т.е</w:t>
            </w:r>
            <w:proofErr w:type="gramStart"/>
            <w:r w:rsidRPr="002E1F46">
              <w:rPr>
                <w:shd w:val="clear" w:color="auto" w:fill="FFFFFF"/>
              </w:rPr>
              <w:t>.н</w:t>
            </w:r>
            <w:proofErr w:type="gramEnd"/>
            <w:r w:rsidRPr="002E1F46">
              <w:rPr>
                <w:shd w:val="clear" w:color="auto" w:fill="FFFFFF"/>
              </w:rPr>
              <w:t>а следующий день после поступления запроса).</w:t>
            </w:r>
          </w:p>
          <w:p w:rsidR="00132607" w:rsidRPr="002E1F46" w:rsidRDefault="00132607" w:rsidP="005C6DEF">
            <w:pPr>
              <w:pStyle w:val="a6"/>
              <w:tabs>
                <w:tab w:val="clear" w:pos="4153"/>
                <w:tab w:val="center" w:pos="459"/>
              </w:tabs>
              <w:rPr>
                <w:shd w:val="clear" w:color="auto" w:fill="FFFFFF"/>
              </w:rPr>
            </w:pP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Какой документ выдается заявителю при подаче документов на государственную регистрацию прав на недвижимое имущество и сделок с ним?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Копия заявления с отметкой о принятии.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Правоустанавливающий документ с отметкой о принятии.</w:t>
            </w:r>
          </w:p>
          <w:p w:rsidR="00132607" w:rsidRPr="002E1F46" w:rsidRDefault="00132607" w:rsidP="005C6DEF">
            <w:pPr>
              <w:pStyle w:val="a4"/>
              <w:spacing w:after="0"/>
              <w:ind w:left="34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Расписка с перечнем документов с указанием даты представления и времени с точностью до минуты.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4.Расписка с перечнем документов.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Где территориально производится регистрация объекта недвижимого имущества и прав на него?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По месту нахождения недвижимого имущества в пределах регистрационного округа.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По месту нахождения имущества.</w:t>
            </w:r>
          </w:p>
          <w:p w:rsidR="00132607" w:rsidRPr="002E1F46" w:rsidRDefault="00F47557" w:rsidP="005C6DEF">
            <w:pPr>
              <w:pStyle w:val="a4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132607" w:rsidRPr="002E1F46">
              <w:rPr>
                <w:shd w:val="clear" w:color="auto" w:fill="FFFFFF"/>
              </w:rPr>
              <w:t xml:space="preserve">По месту жительства заявителя (заявителей).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Какие лица являются участниками отношений, возникающих при государственной регистрации прав на недвижимое имущество и сделок с ним?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Собственники недвижимого имущества и обладатели иных подлежащих государственной регистрации прав на него, с одной стороны и органы, осуществляющие регистрацию прав, с другой стороны.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2. Все лица, постоянно проживающие на территории регистрационного округа, с одной стороны и органы, осуществляющие </w:t>
            </w:r>
            <w:r w:rsidRPr="002E1F46">
              <w:rPr>
                <w:shd w:val="clear" w:color="auto" w:fill="FFFFFF"/>
              </w:rPr>
              <w:lastRenderedPageBreak/>
              <w:t>регистрацию прав, с другой стороны.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3. Только юридические лица, являющиеся собственниками недвижимого имущества, с одной стороны и органы, осуществляющие регистрацию прав, с другой стороны.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 на недвижимое имущество и сделок с ним, надлежаще оформленные согласия (или отказы) на отчуждение доли?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Заявителю отказывается в регистрации перехода прав на долю в общем имуществе.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 истек.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3. Регистрация приостанавливается до момента получения (оформления) ответа участников долевой собственности или вступления в законную силу решения суда по данному вопросу.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Кто должен обратиться в регистрационный орган при государственной регистрации права аренды недвижимого имущества?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Обе стороны договора аренды.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Одна из сторон договора аренды.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Арендодатель.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4. Арендатор.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На какой максимальный срок может быть приостановлена государственная регистрация прав на основании заявления правообладателя?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Не более чем на один месяц.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Не более чем на два месяца.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Не более чем на три месяца.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4. Не более чем на один год.</w:t>
            </w:r>
          </w:p>
          <w:p w:rsidR="00132607" w:rsidRPr="002E1F46" w:rsidRDefault="00132607" w:rsidP="005C6DEF">
            <w:pPr>
              <w:pStyle w:val="a6"/>
              <w:tabs>
                <w:tab w:val="clear" w:pos="4153"/>
                <w:tab w:val="center" w:pos="459"/>
              </w:tabs>
              <w:rPr>
                <w:shd w:val="clear" w:color="auto" w:fill="FFFFFF"/>
              </w:rPr>
            </w:pP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Обязан ли орган, осуществляющий государственную регистрацию прав на недвижимое имущество и сделок с ним, предоставлять по запросу правообладателя сведения о лицах, получивших информацию об объекте недвижимости правообладателя?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Да.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2. Нет.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С какого момента возникает право собственности на недвижимое имущество у покупателя?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1. С момента подписания договора купли-продажи, предметом которого является нежилое помещение.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2. С момента передачи нежилого помещения от продавца к покупателю.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3. С момента государственной регистрации права.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4. С момента подписания договора купли-продажи и передачи недвижимого имущества от продавца к покупателю. </w:t>
            </w:r>
          </w:p>
        </w:tc>
      </w:tr>
      <w:tr w:rsidR="00132607" w:rsidRPr="002E1F46" w:rsidTr="00601A00">
        <w:trPr>
          <w:trHeight w:val="414"/>
        </w:trPr>
        <w:tc>
          <w:tcPr>
            <w:tcW w:w="539" w:type="dxa"/>
            <w:shd w:val="clear" w:color="auto" w:fill="auto"/>
          </w:tcPr>
          <w:p w:rsidR="00132607" w:rsidRPr="002E1F46" w:rsidRDefault="00132607" w:rsidP="00132607">
            <w:pPr>
              <w:pStyle w:val="a8"/>
              <w:numPr>
                <w:ilvl w:val="0"/>
                <w:numId w:val="8"/>
              </w:numPr>
              <w:tabs>
                <w:tab w:val="center" w:pos="4436"/>
                <w:tab w:val="left" w:pos="5019"/>
                <w:tab w:val="right" w:pos="8589"/>
              </w:tabs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2607" w:rsidRPr="002E1F46" w:rsidRDefault="00132607" w:rsidP="00601A00">
            <w:pPr>
              <w:pStyle w:val="a6"/>
              <w:tabs>
                <w:tab w:val="left" w:pos="221"/>
              </w:tabs>
              <w:snapToGrid w:val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имущество? </w:t>
            </w:r>
          </w:p>
        </w:tc>
        <w:tc>
          <w:tcPr>
            <w:tcW w:w="4961" w:type="dxa"/>
            <w:shd w:val="clear" w:color="auto" w:fill="auto"/>
          </w:tcPr>
          <w:p w:rsidR="00132607" w:rsidRPr="002E1F46" w:rsidRDefault="00132607" w:rsidP="005C6DEF">
            <w:pPr>
              <w:pStyle w:val="a4"/>
              <w:tabs>
                <w:tab w:val="center" w:pos="459"/>
                <w:tab w:val="right" w:pos="8306"/>
              </w:tabs>
              <w:snapToGrid w:val="0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>1</w:t>
            </w:r>
            <w:r w:rsidR="00601A00">
              <w:rPr>
                <w:shd w:val="clear" w:color="auto" w:fill="FFFFFF"/>
              </w:rPr>
              <w:t>.</w:t>
            </w:r>
            <w:r w:rsidRPr="002E1F46">
              <w:rPr>
                <w:shd w:val="clear" w:color="auto" w:fill="FFFFFF"/>
              </w:rPr>
              <w:t xml:space="preserve"> </w:t>
            </w:r>
            <w:r w:rsidR="005C6DEF">
              <w:rPr>
                <w:shd w:val="clear" w:color="auto" w:fill="FFFFFF"/>
              </w:rPr>
              <w:t xml:space="preserve"> </w:t>
            </w:r>
            <w:r w:rsidRPr="002E1F46">
              <w:rPr>
                <w:shd w:val="clear" w:color="auto" w:fill="FFFFFF"/>
              </w:rPr>
              <w:t>Да.</w:t>
            </w:r>
          </w:p>
          <w:p w:rsidR="00132607" w:rsidRPr="002E1F46" w:rsidRDefault="00132607" w:rsidP="005C6DEF">
            <w:pPr>
              <w:pStyle w:val="a4"/>
              <w:spacing w:after="0"/>
              <w:rPr>
                <w:shd w:val="clear" w:color="auto" w:fill="FFFFFF"/>
              </w:rPr>
            </w:pPr>
            <w:r w:rsidRPr="002E1F46">
              <w:rPr>
                <w:shd w:val="clear" w:color="auto" w:fill="FFFFFF"/>
              </w:rPr>
              <w:t xml:space="preserve">2. Нет. </w:t>
            </w:r>
          </w:p>
        </w:tc>
      </w:tr>
    </w:tbl>
    <w:p w:rsidR="00CA47A2" w:rsidRDefault="00CA47A2"/>
    <w:sectPr w:rsidR="00CA47A2" w:rsidSect="005C6DEF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3E" w:rsidRDefault="004D7F3E" w:rsidP="00132607">
      <w:r>
        <w:separator/>
      </w:r>
    </w:p>
  </w:endnote>
  <w:endnote w:type="continuationSeparator" w:id="0">
    <w:p w:rsidR="004D7F3E" w:rsidRDefault="004D7F3E" w:rsidP="0013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7" w:rsidRPr="005E5264" w:rsidRDefault="00132607" w:rsidP="00132607">
    <w:pPr>
      <w:pStyle w:val="ab"/>
    </w:pPr>
    <w:r>
      <w:rPr>
        <w:rFonts w:ascii="Arial" w:hAnsi="Arial" w:cs="Arial"/>
      </w:rPr>
      <w:t>Новый взгляд на образование!</w:t>
    </w:r>
    <w:r w:rsidRPr="005E5264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т. (4922) 46-46-50</w:t>
    </w:r>
    <w:r w:rsidRPr="005E5264">
      <w:rPr>
        <w:rFonts w:ascii="Arial" w:hAnsi="Arial" w:cs="Arial"/>
      </w:rPr>
      <w:ptab w:relativeTo="margin" w:alignment="right" w:leader="none"/>
    </w:r>
    <w:r>
      <w:rPr>
        <w:rFonts w:ascii="Arial" w:hAnsi="Arial" w:cs="Arial"/>
        <w:lang w:val="en-US"/>
      </w:rPr>
      <w:t>E</w:t>
    </w:r>
    <w:r w:rsidRPr="005E5264">
      <w:rPr>
        <w:rFonts w:ascii="Arial" w:hAnsi="Arial" w:cs="Arial"/>
      </w:rPr>
      <w:t>-</w:t>
    </w:r>
    <w:r>
      <w:rPr>
        <w:rFonts w:ascii="Arial" w:hAnsi="Arial" w:cs="Arial"/>
        <w:lang w:val="en-US"/>
      </w:rPr>
      <w:t>mail</w:t>
    </w:r>
    <w:r>
      <w:rPr>
        <w:rFonts w:ascii="Arial" w:hAnsi="Arial" w:cs="Arial"/>
      </w:rPr>
      <w:t>:</w:t>
    </w:r>
    <w:r w:rsidRPr="005E5264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lang w:val="en-US"/>
      </w:rPr>
      <w:t>intelres</w:t>
    </w:r>
    <w:proofErr w:type="spellEnd"/>
    <w:r w:rsidRPr="005E5264">
      <w:rPr>
        <w:rFonts w:ascii="Arial" w:hAnsi="Arial" w:cs="Arial"/>
      </w:rPr>
      <w:t>@</w:t>
    </w:r>
    <w:r>
      <w:rPr>
        <w:rFonts w:ascii="Arial" w:hAnsi="Arial" w:cs="Arial"/>
        <w:lang w:val="en-US"/>
      </w:rPr>
      <w:t>list</w:t>
    </w:r>
    <w:r w:rsidRPr="005E5264">
      <w:rPr>
        <w:rFonts w:ascii="Arial" w:hAnsi="Arial" w:cs="Arial"/>
      </w:rPr>
      <w:t>.</w:t>
    </w:r>
    <w:proofErr w:type="spellStart"/>
    <w:r>
      <w:rPr>
        <w:rFonts w:ascii="Arial" w:hAnsi="Arial" w:cs="Arial"/>
        <w:lang w:val="en-US"/>
      </w:rPr>
      <w:t>ru</w:t>
    </w:r>
    <w:proofErr w:type="spellEnd"/>
  </w:p>
  <w:p w:rsidR="00132607" w:rsidRPr="00132607" w:rsidRDefault="00132607" w:rsidP="001326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3E" w:rsidRDefault="004D7F3E" w:rsidP="00132607">
      <w:r>
        <w:separator/>
      </w:r>
    </w:p>
  </w:footnote>
  <w:footnote w:type="continuationSeparator" w:id="0">
    <w:p w:rsidR="004D7F3E" w:rsidRDefault="004D7F3E" w:rsidP="0013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multi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B"/>
    <w:multiLevelType w:val="multi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1C"/>
    <w:multiLevelType w:val="multilevel"/>
    <w:tmpl w:val="0000001C"/>
    <w:name w:val="WW8Num2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E"/>
    <w:multiLevelType w:val="multi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F"/>
    <w:multiLevelType w:val="multilevel"/>
    <w:tmpl w:val="0000001F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1E927BEB"/>
    <w:multiLevelType w:val="hybridMultilevel"/>
    <w:tmpl w:val="CA20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7A2"/>
    <w:rsid w:val="00132607"/>
    <w:rsid w:val="00263A39"/>
    <w:rsid w:val="00493302"/>
    <w:rsid w:val="004D7F3E"/>
    <w:rsid w:val="005C6DEF"/>
    <w:rsid w:val="00601A00"/>
    <w:rsid w:val="00626CFD"/>
    <w:rsid w:val="00794BAF"/>
    <w:rsid w:val="008D311D"/>
    <w:rsid w:val="00CA47A2"/>
    <w:rsid w:val="00E7382C"/>
    <w:rsid w:val="00F47557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7A2"/>
    <w:rPr>
      <w:color w:val="000080"/>
      <w:u w:val="single"/>
    </w:rPr>
  </w:style>
  <w:style w:type="paragraph" w:styleId="a4">
    <w:name w:val="Body Text"/>
    <w:basedOn w:val="a"/>
    <w:link w:val="a5"/>
    <w:rsid w:val="00CA47A2"/>
    <w:pPr>
      <w:spacing w:after="120"/>
    </w:pPr>
  </w:style>
  <w:style w:type="character" w:customStyle="1" w:styleId="a5">
    <w:name w:val="Основной текст Знак"/>
    <w:basedOn w:val="a0"/>
    <w:link w:val="a4"/>
    <w:rsid w:val="00CA47A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rsid w:val="00CA47A2"/>
    <w:pPr>
      <w:suppressLineNumbers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A47A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13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607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32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60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cp:lastPrinted>2014-03-05T06:51:00Z</cp:lastPrinted>
  <dcterms:created xsi:type="dcterms:W3CDTF">2014-02-27T13:00:00Z</dcterms:created>
  <dcterms:modified xsi:type="dcterms:W3CDTF">2014-10-21T10:22:00Z</dcterms:modified>
</cp:coreProperties>
</file>